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dipartimento di Scienze Storiche, Geografiche e dell’ Antichita’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via del Vescovado, 30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35141 padova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SOGGETT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LA STIPULA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CONTRATT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PRESTAZIONE DI LAVORO AUTONOMO PER ATTIVITA’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 SUPPORTO ALLA RICERCA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NELL’AMBITO DEL PROGETTO PRIN 2022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di attività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nell’ambito del progetto PRIN 2022 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” per conto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 prof. Andrea Pase.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e8naB1B9W2szD0xEuN+8Auy5w==">CgMxLjAyCGguZ2pkZ3hzOAByITFHY2JtVEpfTUxVdjJRM2hoVHpaSVNpUzV4WXJkX1FMRg==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2024-01-16T15:57:00Z</dcterms:created>
</cp:coreProperties>
</file>