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2022LA04 DISSGEA - COMPARATIVE PROCEDURE FOR GRANTING AN OCCASIONAL SELF-EMPLOYMENT ASSIGNMENT IN SUPPORT OF RESEARCH ACTIVITIES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CV comparative procedure</w:t>
      </w:r>
      <w:r w:rsidDel="00000000" w:rsidR="00000000" w:rsidRPr="00000000">
        <w:rPr>
          <w:rFonts w:ascii="Arial" w:cs="Arial" w:eastAsia="Arial" w:hAnsi="Arial"/>
          <w:sz w:val="22"/>
          <w:szCs w:val="22"/>
          <w:rtl w:val="0"/>
        </w:rPr>
        <w:t xml:space="preserve"> aiming at identifying an external expert, whose application will be considered only if no expert is available within the University technical-administrative employees, to carry out an occasional self-employment assignment in support of research activities on behalf of prof. Matteo Millan.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Hb3V2qppd0zxS9zTENksZzADA==">AMUW2mWfmHvvQNSZICGdCkbCirSf+oO+f1XMOUghfbBnSBe3cU8qT2J0LP8j2L6WKzoLRZ8AWiYvmBjilRh/lsvNT8HavNGxjja3Spr1VFfbooBJKqAhsd5mHPH/7pnU4eWpzExq5dL2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2021-12-13T08:14:00Z</dcterms:created>
  <dc:creator>PENGOMA</dc:creator>
</cp:coreProperties>
</file>