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prof. Matteo Millan.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8XQ8vSqXZX98D4yXNMf4JOYWg==">AMUW2mU0991a9+iJnICRHZq7xiNbculGz4J4s3YsVQ+JlDrNMD3Sig31LH8qZZAhRvVqtzREKBnpkwBGSHkewou1dG8yJq0F+6F5F7ryJTQCjbUGZ3eRTpe1qR8s2EbHsBiOJIa+yqgQ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