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sz w:val="22"/>
          <w:szCs w:val="22"/>
          <w:rtl w:val="0"/>
        </w:rPr>
        <w:t xml:space="preserve">AVVISO DI PROCEDURA COMPARATIVA DISSGEA 2021LA03 PER L’INDIVIDUAZIONE DI UN SOGGETTO PER LA STIPULA DI UN CONTRATTO PER PRESTAZIONE DI LAVORO AUTONOMO PER ATTIVITA’ DI SUPPORTO ALLA RICERCA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presso il Dipartimento di Scienze storiche, geografiche e dell’antichità, per conto </w:t>
      </w:r>
      <w:r w:rsidDel="00000000" w:rsidR="00000000" w:rsidRPr="00000000">
        <w:rPr>
          <w:rFonts w:ascii="Arial" w:cs="Arial" w:eastAsia="Arial" w:hAnsi="Arial"/>
          <w:sz w:val="22"/>
          <w:szCs w:val="22"/>
          <w:rtl w:val="0"/>
        </w:rPr>
        <w:t xml:space="preserve">del prof. Mario Brogi.</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ai sensi della normativa vigente;</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Z1kOHewPys96+bRYeanxn5Szhg==">AMUW2mXVgHRnCBZ/bD2y00CKAxlCEGyIFuKBv61NE5Vwlrd5XOrhXfvmZveqVREBNMFzrfJ5XVNFFJCpR3jHUOlw/IXlPZbgbQR090VV6n+MetRTPZqXndY=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