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2"/>
          <w:szCs w:val="22"/>
          <w:rtl w:val="0"/>
        </w:rPr>
        <w:t xml:space="preserve">AVVISO DI PROCEDURA COMPARATIVA DISSGEA 2021LA06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w:t>
      </w:r>
      <w:r w:rsidDel="00000000" w:rsidR="00000000" w:rsidRPr="00000000">
        <w:rPr>
          <w:rFonts w:ascii="Arial" w:cs="Arial" w:eastAsia="Arial" w:hAnsi="Arial"/>
          <w:sz w:val="22"/>
          <w:szCs w:val="22"/>
          <w:rtl w:val="0"/>
        </w:rPr>
        <w:t xml:space="preserve">della prof.ssa Cecilia Martini.</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F7cswHJ1tA9vDlEIo4cZ/0ayw==">AMUW2mUA8fbSKlwxjBIHKF9qV1LyYQChvRIkc8OhpVoNx5bn4vrONZLBFAQUxLbhLz9E3jJzLOmQoy14imHUKUTF9lVn0dMpXhyvBgO9Dd4lG6esZscVmA8=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